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GRANO DORATO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grano dorato amico dell’uomo,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cielo blu, buono e sincero.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a Don Bosco ti invio il mio canto,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l’oratorio semina in te il coraggio.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Gesù mio che dal cielo,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invierai la tua grazia,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come pioggia che spazzerà via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vizio e la cattiveria.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nuvola nera nasconde la luna,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il peccato oscura l’anima.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Dimentico l’offesa del mio nemico,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supplico perdono, torna ad essere mio amico.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arcobaleno indica il cammino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i suoi colori, torna il sereno.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fatica, no, non mi arrendo,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tendo la mano, spero e chiamo.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k8+d6ZIHi6xqALf2vOP1ANI0fg==">CgMxLjA4AHIhMUtZeDNyY3JDUVY2ZWtkME5DaXZJTnpXR0V3bFBPcUhp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